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5E" w:rsidRPr="00CB58DD" w:rsidRDefault="00A2675E" w:rsidP="00450D2D">
      <w:pPr>
        <w:pStyle w:val="NoSpacing"/>
        <w:ind w:firstLine="709"/>
        <w:jc w:val="center"/>
        <w:rPr>
          <w:rFonts w:ascii="Times New Roman" w:hAnsi="Times New Roman"/>
          <w:sz w:val="28"/>
          <w:szCs w:val="28"/>
        </w:rPr>
      </w:pPr>
      <w:r w:rsidRPr="00CB58DD">
        <w:rPr>
          <w:rFonts w:ascii="Times New Roman" w:hAnsi="Times New Roman"/>
          <w:sz w:val="28"/>
          <w:szCs w:val="28"/>
        </w:rPr>
        <w:t>ТЕХНОЛОГИЧЕСКИЕ УКЛАДЫ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58DD">
        <w:rPr>
          <w:rFonts w:ascii="Times New Roman" w:hAnsi="Times New Roman"/>
          <w:sz w:val="28"/>
          <w:szCs w:val="28"/>
        </w:rPr>
        <w:t xml:space="preserve"> КАК ОСНОВА ИННОВАЦИОННОГО РАЗВИТИЯ РЕСПУБЛИКИ КАЗАХСТАН</w:t>
      </w:r>
    </w:p>
    <w:p w:rsidR="00A2675E" w:rsidRPr="00450D2D" w:rsidRDefault="00A2675E" w:rsidP="00AD1F5D">
      <w:pPr>
        <w:pStyle w:val="NoSpacing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Мир развивается не поступательно. Состояние любой системы можно охарактеризовать синусоидой - подъем, вершина, спад, кризис, подъем. Так вот, именно эта зависимость особенно не давала покоя экономистам. В столь неточной науке, как экономика, любая четкая зависимость ценится очень дорого. Поэтому неудивительны настойчивость и энтузиазм, с которыми экономисты пытались обосновать изменения экономических систем. Возможность прогнозировать ситуацию исходя из обоснованных закономерностей - мечта любого человека, непосредственно связанного с деньгами. А когда в один прекрасный момент встал вопрос о долгосрочном прогнозировании, вдруг выяснилось, что экономике столь же присуща цикличность, как и всем остальным граням нашего невыносимо легкого бытия. Разумеется, всякая деятельность конечна, поэтому стагнация иногда заканчивается смертью системы, однако этим соображением мы пока попробуем пренебречь в силу его неконструктивности.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В середине 1920-х годов русский экономист Николай Кондратьев выдвинул теорию циклов экономической конъюнктуры длительностью 40-60 лет. Выдвинул он идею без каких-либо серьезных теоретических оснований - построенную исключительно на эмпирических наблюдениях. Во время своих исследований он проанализировал некоторые макроэкономические показатели стран Западной Европы и США с 1790 по 1920 годы (более полной статистики на тот момент не было). Построив и сгладив графики, устранив краткосрочные колебания, он обнаружил, что значения этих показателей синхронно движутся в долгосрочном периоде. Максимумы достигались примерно в 1815 и 1873, а минимумы - в 1845 и 1896 гг. Кроме того, во время подъема длинной волны возрастало количество войн и восстаний и происходило вовлечение новых стран и регионов в мировую торговлю и в мировое разделение труда. На основании этих наблюдений Кондратьев сделал долгосрочный прогноз до 2010 года, предсказав, не только, Великую депрессию 1930-х годов, отказ от золотого эквивалента доллара и кризис начала 70-х (существуют обоснованные предположения, что к середине 70-х США потерпели поражение в соревновании с СССР), но современный кризис.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Кондратьев установил, что мировая экономика развивается циклично. Было установлено 6 волн (рис.1).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1 цикл - с 1779 до 1841-43 гг. (фаза роста - до </w:t>
      </w:r>
      <w:smartTag w:uri="urn:schemas-microsoft-com:office:smarttags" w:element="metricconverter">
        <w:smartTagPr>
          <w:attr w:name="ProductID" w:val="1814 г"/>
        </w:smartTagPr>
        <w:r w:rsidRPr="00AD1F5D">
          <w:rPr>
            <w:rFonts w:ascii="Times New Roman" w:hAnsi="Times New Roman"/>
            <w:sz w:val="32"/>
            <w:szCs w:val="32"/>
          </w:rPr>
          <w:t>1814 г</w:t>
        </w:r>
      </w:smartTag>
      <w:r w:rsidRPr="00AD1F5D">
        <w:rPr>
          <w:rFonts w:ascii="Times New Roman" w:hAnsi="Times New Roman"/>
          <w:sz w:val="32"/>
          <w:szCs w:val="32"/>
        </w:rPr>
        <w:t xml:space="preserve">.; снижение - с 1814 до 1841-43 гг.).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2 цикл - с 1844-51 до 1890-96 гг. (фаза роста - до 1870-75 гг.; снижение - с 1870-75 до 1891-96 гг.).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3 цикл - с 1891-96 до 1929-33 гг. (фаза роста - до </w:t>
      </w:r>
      <w:smartTag w:uri="urn:schemas-microsoft-com:office:smarttags" w:element="metricconverter">
        <w:smartTagPr>
          <w:attr w:name="ProductID" w:val="1914 г"/>
        </w:smartTagPr>
        <w:r w:rsidRPr="00AD1F5D">
          <w:rPr>
            <w:rFonts w:ascii="Times New Roman" w:hAnsi="Times New Roman"/>
            <w:sz w:val="32"/>
            <w:szCs w:val="32"/>
          </w:rPr>
          <w:t>1914 г</w:t>
        </w:r>
      </w:smartTag>
      <w:r w:rsidRPr="00AD1F5D">
        <w:rPr>
          <w:rFonts w:ascii="Times New Roman" w:hAnsi="Times New Roman"/>
          <w:sz w:val="32"/>
          <w:szCs w:val="32"/>
        </w:rPr>
        <w:t xml:space="preserve">., снижение - до </w:t>
      </w:r>
      <w:smartTag w:uri="urn:schemas-microsoft-com:office:smarttags" w:element="metricconverter">
        <w:smartTagPr>
          <w:attr w:name="ProductID" w:val="1929 г"/>
        </w:smartTagPr>
        <w:r w:rsidRPr="00AD1F5D">
          <w:rPr>
            <w:rFonts w:ascii="Times New Roman" w:hAnsi="Times New Roman"/>
            <w:sz w:val="32"/>
            <w:szCs w:val="32"/>
          </w:rPr>
          <w:t>1929 г</w:t>
        </w:r>
      </w:smartTag>
      <w:r w:rsidRPr="00AD1F5D">
        <w:rPr>
          <w:rFonts w:ascii="Times New Roman" w:hAnsi="Times New Roman"/>
          <w:sz w:val="32"/>
          <w:szCs w:val="32"/>
        </w:rPr>
        <w:t xml:space="preserve">.).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4 цикл - с 1929-</w:t>
      </w:r>
      <w:smartTag w:uri="urn:schemas-microsoft-com:office:smarttags" w:element="metricconverter">
        <w:smartTagPr>
          <w:attr w:name="ProductID" w:val="33 г"/>
        </w:smartTagPr>
        <w:r w:rsidRPr="00AD1F5D">
          <w:rPr>
            <w:rFonts w:ascii="Times New Roman" w:hAnsi="Times New Roman"/>
            <w:sz w:val="32"/>
            <w:szCs w:val="32"/>
          </w:rPr>
          <w:t>33 г</w:t>
        </w:r>
      </w:smartTag>
      <w:r w:rsidRPr="00AD1F5D">
        <w:rPr>
          <w:rFonts w:ascii="Times New Roman" w:hAnsi="Times New Roman"/>
          <w:sz w:val="32"/>
          <w:szCs w:val="32"/>
        </w:rPr>
        <w:t xml:space="preserve">. (возможно, до конца 1930-х гг.) до 1973-75 гг. (возможно, до </w:t>
      </w:r>
      <w:smartTag w:uri="urn:schemas-microsoft-com:office:smarttags" w:element="metricconverter">
        <w:smartTagPr>
          <w:attr w:name="ProductID" w:val="1981 г"/>
        </w:smartTagPr>
        <w:r w:rsidRPr="00AD1F5D">
          <w:rPr>
            <w:rFonts w:ascii="Times New Roman" w:hAnsi="Times New Roman"/>
            <w:sz w:val="32"/>
            <w:szCs w:val="32"/>
          </w:rPr>
          <w:t>1981 г</w:t>
        </w:r>
      </w:smartTag>
      <w:r w:rsidRPr="00AD1F5D">
        <w:rPr>
          <w:rFonts w:ascii="Times New Roman" w:hAnsi="Times New Roman"/>
          <w:sz w:val="32"/>
          <w:szCs w:val="32"/>
        </w:rPr>
        <w:t xml:space="preserve">.); высшая поворотная точка приходится на начало 1950-х гг. 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5 цикл - с 1973-75 до (прогноз) 2010-15 гг.; высшая поворотная точка приходится на середину 1990-х гг.  </w:t>
      </w: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Default="00A2675E" w:rsidP="00AD1F5D">
      <w:pPr>
        <w:pStyle w:val="NoSpacing"/>
        <w:ind w:firstLine="709"/>
        <w:jc w:val="center"/>
        <w:rPr>
          <w:rFonts w:ascii="Times New Roman" w:hAnsi="Times New Roman"/>
          <w:sz w:val="28"/>
          <w:szCs w:val="28"/>
        </w:rPr>
      </w:pPr>
      <w:r w:rsidRPr="00670463"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335.25pt;height:168pt;visibility:visible">
            <v:imagedata r:id="rId5" o:title=""/>
          </v:shape>
        </w:pict>
      </w:r>
    </w:p>
    <w:p w:rsidR="00A2675E" w:rsidRDefault="00A2675E" w:rsidP="00AD1F5D">
      <w:pPr>
        <w:pStyle w:val="NoSpac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 – Циклы Кондратьева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Понятие технологического уклада было введено в оборот российскими экономистами Д. С. Львовым и С. Ю. Глазьевым. Согласно наиболее распространённой точке зрения, технологический уклад — это совокупность технологий, характерных для определенного уровня развития производства. В связи с научным и техническим прогрессом происходит переход от более низких укладов к более высоким, прогрессивным. Основы последующего технологического уклада зарождаются, как правило, ещё в период господства и расцвета предыдущего или даже предпредыдущего уклада. Но до тех пор, пока предыдущий уклад не исчерпает всех возможностей своего развития, ростки последующего уклада пребывают в тени и широкого развития не получают. Условно принято считать, что длительность технологического уклада равна 50-60 годам. На сегодняшний день экономисты выделяют 5 существующих укладов и говорят о наступлении 6-го.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В процессе исследования Н.Д.Кондратьев пришел к следующему важному выводу: «...Материальной основой больших циклов является изнашивание, смена и расширение основных материальных благ, требующих длительного времени и огромных затрат для своего производства. Смена и расширение фонда этих благ идет не плавно, а толчками, другим выражением чего и являют­ся большие волны конъюнктуры... Повышательная волна большого цикла связана с обновлением и расширением основных капитальных благ, с радикальными изменениями и перегруппировкой основ­ных производительных сил общества. Но этот процесс предполагает огромные затраты капитала» [].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Таким образом, в основе длинных циклов, по Кондратьеву, лежит смена пассивной части основного капитала, т.е. зданий, сооружений и прочей инфраструктуры, обеспечивающей процесс производства. </w:t>
      </w:r>
    </w:p>
    <w:p w:rsidR="00A2675E" w:rsidRDefault="00A2675E" w:rsidP="00AD1F5D">
      <w:pPr>
        <w:pStyle w:val="NoSpacing"/>
        <w:ind w:firstLine="709"/>
        <w:jc w:val="center"/>
        <w:rPr>
          <w:rFonts w:ascii="Times New Roman" w:hAnsi="Times New Roman"/>
          <w:sz w:val="28"/>
          <w:szCs w:val="28"/>
        </w:rPr>
      </w:pPr>
      <w:r w:rsidRPr="00670463"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4" o:spid="_x0000_i1026" type="#_x0000_t75" style="width:324pt;height:180pt;visibility:visible">
            <v:imagedata r:id="rId6" o:title=""/>
          </v:shape>
        </w:pict>
      </w:r>
    </w:p>
    <w:p w:rsidR="00A2675E" w:rsidRDefault="00A2675E" w:rsidP="00AD1F5D">
      <w:pPr>
        <w:pStyle w:val="NoSpac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 – Технологические уклады</w:t>
      </w:r>
    </w:p>
    <w:p w:rsidR="00A2675E" w:rsidRPr="00AD1F5D" w:rsidRDefault="00A2675E" w:rsidP="00AD1F5D">
      <w:pPr>
        <w:pStyle w:val="NoSpacing"/>
        <w:ind w:firstLine="709"/>
        <w:jc w:val="center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Примечательно, что периодизация длинных волн по Кондратьеву (рис 1) практически совпадает с периодами доминирования технологических укладов. 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К сожалению, страны СНГ, в том числе и Казахстан, были изолированы от этого пласта науки, в который свой весомый вклад внесли такие выдающиеся ученые, как В.Леонтьев и П.Самуэльсон (лауреаты Нобелевской премии в области экономики) — взаимосвязь экономических переменных и построение эконометрических моделей; Ф.Шпитгоф Р.Харрод — роль динамических факторов; Р.Ф.Кан, Дж. М.Кейнс — мультипликатор инвестиций и функции потребления и другие ученые, ис­следовавшие различные аспекты циклического развития.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Для развитых зарубежных стран отличительной чертой современного понятия цикла является то, что его тесно увязывают с вопросами государственно-монополистического регулирования не только на макро-, но и на микроуровне. Цикл все в большей степени рассматривается не только как предмет изучения, но и как объект управления.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Бесспорное достижение концепций длинных волн — доказательство эмпирическими (статисти­ческими) данными существования колебаний в экономической динамике. К настоящему времени за­фиксировано пять таких колебаний. Импульсами к зарождению явились технологически взаимосвя­занные нововведения в четырех секторах экономики: энергетике, производстве орудий труда, в транспортной системе и связи, а также в способах обработки материалов. Используя выдающиеся научные открытия и изобретения, они развивались опережающими темпами и содействовали разви­тию других секторов экономики. Особенностью каждого из этих колебаний является стабильный со­став инициаторов фазы роста — группы отраслей промышленности, развивающихся опережающими темпами, и стабильная пятидесятилетняя длина волны, цикличность.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Таким образом, по мнению специалистов [3], на сегодняшний день известно пять технологи­ческих укладов (волн). Анализ данных, представленных в таблице 1, позволяет сделать вывод о том, что первая волна (1770-1830 гг.) сформировала технологический уклад, основанный на новых техно­логиях в текстильной промышленности, использовании энергии воды.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Вторая волна (1831-1880 гг.) связана с развитием железнодорожного транспорта и механическо­го производства во всех отраслях на основе парового двигателя.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Третья волна (1881-1930 гг.) базируется на использовании в промышленном производстве элек­трической энергии, развитии тяжелого машиностроения и электротехнической промышленности на базе использования стального проката, новых открытий в области химии. Были внедрены радиосвязь, телеграф, автомобили, самолеты, начали применяться цветные металлы, алюминий, пластические массы и т.д. Появились крупные фирмы, картели, тресты. На рынке господствовали монополии и олигополии. Началась концентрация банковского и финансового капитала.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Четвертая волна (1931-1980 гг.) сформировала уклад, основанный на дальнейшем развитии энергетики с использованием нефти и нефтепродуктов, газа, средств связи, новых синтетических ма­териалов. Это эра массового производства автомобилей, тракторов, самолетов, различных видов во­оружения, товаров народного потребления. Появились и широко распространились компьютеры и программные продукты для них, радары. Атом используется в военных, затем и в мирных целях. Организовано массовое производство на основе фордовской конвейерной технологии. На рынке господствует олигопольная конкуренция. Появились транснациональные и межнациональные компании, которые осуществляли прямые инвестиции на рынках различных стран.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Пятая волна (1981-2030 гг.) опирается на достижения в области микроэлектроники, информати­ки, биотехнологии, генной инженерии, новых видов энергии, материалов, освоения космического пространства, спутниковой связи и т.п. Происходит переход от разрозненных фирм к единой сети крупных и мелких фирм, соединенных электронной сетью на основе Интернета, осуществляющих тесное взаимодействие в области технологии, контроля качества продукции, планирования инноваций, организации поставок по принципу «точно в срок».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Сегодня в промышленно развитых странах, образующих костяк глобальной экономики, практи­чески во всех отраслях производства господствующим является пятый технологический уклад. Пер­вая стадия (фаза) пятого технологического уклада, освоенная промышленно развитыми странами ми­ра в 80-е годы XX столетия, была связана с воспроизведением с помощью компьютеров уже дейст­вующих стандартов и норм производственных процессов. Эта стадия реализуется в автоматизиро­ванных системах управления технологическими процессами (АСУТП) и автоматизированных систе­мах управления предприятиями (АСУП). Для обеспечения автоматизма технологических процессов активно используются разнообразные автоматические манипуляторы и роботы. На этой стадии пято­го технологического уклада происходит массовое высвобождение из производства станочников, а из сферы управления предприятием — работников, осуществлявших различные расчеты с помощью простейших вычислительных машин. На второй стадии (фазе) пятого технологического уклада, про­мышленное освоение которой активно проходило в индустриально развитых странах в 90-е годы XX в., обеспечивались разработка с помощью компьютеров новых продуктов, их технологической документации и практически безостановочная реализация разработанной технологии в производст­венном процессе. Эта стадия становится возможной благодаря развитию систем автоматизированного проектирования (САПР) и широкому применению в производстве станков с числовым программным управлением (ЧПУ). На их основе развиваются гибкие производственные системы (ГПС), обеспечи­вающие максимально быстрое освоение в производстве продуктов, создаваемых на основе безбумаж­ного проектирования.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Наконец, на третьей стадии пятого технологического уклада, быстрое освоение которой проис­ходит со второй половины 90-х годов XX в. и в первое десятилетие XXI столетия, пространственно разделенные технологические процессы, представляющие собой отдельные звенья единого процесса создания конечного продукта, объединяются с помощью интернета в целостную технологическую систему как в рамках отдельного предприятия, так и в масштабе отрасли промышленности или даже группы отраслей, обеспечивающей технологическое единство создания продукта и его составляющих. При производстве современных сложных машин (самолет, автомобиль) такие системы объединяют до нескольких сотен производственных процессов изготовления их компонентов.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Интернет обеспечивает на основе включения в производственный цикл различных видов транспорта сопряжение в пространстве и времени отдельных технологических звеньев в режи­ме «just in time» (точно в срок), который делает ненужным создание запасов многочисленных ком­плектующих, значительно сокращает время и затраты на создание конечного продукта.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Пятый технологический уклад активно генерирует создание и непрерывное совершенствование новых машин и оборудования, информационных систем компьютеров, локальных и интегральных вычислительных систем, ЧПУ, роботов, обрабатывающих центров, различного рода автоматов и баз данных, информационных языков и программных средств переработки информации, содержащих описание продуктов и алгоритмов реализации многочисленных технологических процессов и выражающих семантическую (обозначающую) функцию информации.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В недрах пятого технологического уклада уже сейчас формируется ядро шестого технологиче­ского уклада (2005-2020 гг.), быстро распространяемого в развитых странах. Он связан с использованием в производстве синтаксической (упорядочивающей) функции информации и получает свое во­площение в галстехнологиях (аббревиатура от английского Continuous Asguisition and Life Cycle Support — непрерывные совершенствование и поддержка жизненного цикла продукции) — единого комплекса стандартов «электронного описания» продукции, обеспечивающих целостную компью­терную организацию процессов разработки, совершенствования, производства, послепродажного сервиса, эксплуатации изделий потребителем на основе безбумажного электронного обмена данными между всеми участниками создания и потребления продукта. Развитие галстехнологий вызвало к жизни новую организационную форму выполнения крупных проектов — виртуальное предприятие (объединение на контрактной основе всех предприятий — до нескольких десятков тысяч, участвую­щих в процессах поддержки изделия на каждом этапе его жизненного цикла и действующих на основе общей системы стандартов информационного взаимодействия).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Наиболее актуальными факторами, препятствующими формированию в Казахстане экономики нового технологического уклада, оперирующей высококачественными мате­риальными, человеческими, интеллектуальными ресурсами, отметим: недостаточную инновационную активность предприятий. Согласно статданным уровень инновационной активности предприятий в Казахстане в последние годы колеблется на уровне 3-4 %, что значительно ниже, чем в странах ЕС.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За 2009 год, затраты связанные с осуществлением инновационной деятельности на 80% являлись процессными инновациями, что свидетельствует о недостаточности спроса на исследования и разработку новых продуктов. По результатам статистического исследования, из 10096 предприятий только 399 хозяйствующих субъекта располагали технологическими инновациями (разработка и внедрение нового продукта или производственного процесса); низкий начальный технологический уровень предприятий; дефицит высококвалифицированных технических кадров; слабую восприим­чивость к инновациям; недостаточную емкость внутреннего рынка инновационных продуктов; закрепление сырьевой направленности экономики из-за высокого роста цен на сырье; недостаточный уровень расходов на фундаментальные исследования и НИОКР.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Доля расходов в ВВП Казахстана на финансирование научных исследований составляет 0,2%. В ведущих и развивающихся экономиках мира данный показатель значи­тельно выше: Германии - 2,5 %, США - 2,8 %, Японии - 3,3 %, Китае - 1,4 %, России - 1,3 %. Международный академический совет опре­деляет оптимальным данный показатель для развивающихся экономик 1-1,5% ВВП. Количество выданных патентов в Казахстане сос­тавляет 1671, в РФ - 19 641 патентов, в Китае -26 292, в США - 154 760, в Японии - 217 364. Соотношение численности ученых, конструкторов и работников опытных производств в Казахстане 25:4:1, в то же время как в развитых странах это соотношение составляет 1:2:4.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Комплекс системных организационно-технических, административных, бюджетно-фискальных мер по модернизации устаревшей структуры экономики, стимулирования роста инновационных отраслей, увеличения доли выпуска интеллектуальных продуктов в объеме промышленного производства проработаны в программных документах индустриально-инновационной политики Республики Казахстан: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- Послании Президента Республики Казахстан Н.Назарбаева от  31 января 2017 г.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- Государственной программе по форсиро­ванному индустриально-инновационному развитию РК на 2010-2014 годы;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- Программе по развитию инноваций и содействию технологической модернизации в Республике Казахстан на 2010-2014 годы;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- Межотраслевом плане научно-технологи­ческого развития страны до 2020 года, отраслевых и региональных программах развития.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Эффективность структурной модернизации экономики РК на основе нового технологического уклада во многом будет определяться способностью государства, в лице национального холдинга по управлению государственными активами «Самрук-Казына», институтов развития, крупнейших казахстанских структу­рообразующих предприятий сформировать эффективный спрос на интеллектуальную продукцию, который, в свою очередь, вызовет мультипликативный эффект в технологически, географически, связанных предприятиях, нахо­дящихся на менее сложных уровнях техно­логического развития.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Приоритетными технологиями в области мировой      интеллектуальной экономики, являются нано-, био- и информационно-коммуникационные технологии, которые обеспечивают, по оценкам, ежегодный экономический прирост до 35%.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Опыт государственного стимулирования прорывных научно-исследовательских работ государств-членов ОЭСР показывает, что рост государственных ассигнований на НИОКР на 1% на 0,85% повышает вероятность успешности нововведений и на 0,7% увеличивает долю новых продуктов в товарообороте. В данном случае, государство через непосредственные или косвенные меры поддержки влияет на формирование и развитие экономической активности в технологически передовых отраслях. Государственная поддержка инновационной активности корпоративного сектора сформировала стимулирующий эффект, в результате которого инвестиции корпораций в интеллектуальные активы превысили в развитых странах 10% ВВП.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Одним из главных факторов эффективности инновационной политики, должно стать безошибочное определение рыночных ниш, в которых потенциальные казахстанские произ­водители интеллектуальной продукции могли бы эффективно конкурировать с ведущими мировыми производителями. Качество технологического прогнозирования становится одним из определяющих факторов политики концентрации качественных ресурсов на выпуске экономически востребованных интеллектуальных продуктах.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В условиях построения экономики высокого технологического уклада, первостепенную роль должно играть качество государственного управления. В интересах государства создание максимально благоприятной среды для раскрытия творческого потенциала, необходимого для развития экономики знаний, стимулирование заинтересованных, в конеч­ном результате производителей, к непрерыв­ным инновациям, креативности мышления, эффективной кооперации с ведущими миро­выми научно-исследовательскими, венчурными центрами и фондами, ускоренный трансферт передовых технологий, развитие собственных ценностей инновационной культуры Республики Казахстан.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Практическое определение влияния раз­личных сочетаний разнокачественных ресурсов на уровень технологического развития будет способствовать оптимизации индустриально-инновационной политики Республики Казахстан, а также позволит выявить наиболее конкурентные виды продукции в условиях отраслевой, региональной и глобальной конкуренции. Важной задачей является раскрытие достаточно емкого инновационного потен­циала традиционных экспортоориентированных отраслей казахстанской экономики.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В качестве мер индустриально-инновационной политики, способствующих развитию высокотехнологичного, относительно одно­родного пространства необходимо принять: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 решения по ускоренной замене технологически устаревших производственных фондов в структурообразующих отраслях про­мышленности;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 xml:space="preserve"> стимулирование инвестиционного спроса, ориентированного на создание высоко­эффективных производств, потребляющих высококачественные ресурсы и применяющих соответствующие передовые технологии;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Достижение необходимого уровня плотности технологического пространства возможно путем стимулирования развития конкурентной экономической среды, а также создания условий для ускоренного внедрения в структурно-технологические схемы инновационных решений, в том числе, силами малого и среднего бизнеса.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Общая эффективность структурно-технологической модернизации промышленного сектора казахстанской экономики будет определяться тем, насколько воспроизводство качественных ресурсов будет превосходить объем производимых массовых ресурсов, и, в какой пропорции, будет осуществляться количественное замещение массовых ресурсов качественными.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ind w:firstLine="709"/>
        <w:jc w:val="center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СПИСОК ИСПОЛЬЗОВАННОЙ ЛИТЕРАТУРЫ:</w:t>
      </w:r>
    </w:p>
    <w:p w:rsidR="00A2675E" w:rsidRPr="00AD1F5D" w:rsidRDefault="00A2675E" w:rsidP="00AD1F5D">
      <w:pPr>
        <w:pStyle w:val="NoSpacing"/>
        <w:ind w:firstLine="709"/>
        <w:jc w:val="both"/>
        <w:rPr>
          <w:rFonts w:ascii="Times New Roman" w:hAnsi="Times New Roman"/>
          <w:sz w:val="32"/>
          <w:szCs w:val="32"/>
        </w:rPr>
      </w:pP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Послание Президента РК от 31.01.2017г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Государственная Программа по форсиро­ванному индустриально-инновационному развитию Республики Казахстан на 2010 -2014 годы. Указ Президента Республики Казахстан от 19 марта 2010 года № 958.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Программа по развитию инноваций и содействию технологической модернизации в Республике Казахстан на 2010-2014 годы. Постановление Правительства Республики Казахстан от 30 ноября 2010 года №1308.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Закон Республики Казахстан от 9 января 2012 года №534-1У ЗРК О государственной поддержке индустриально-инновационной деятельности.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Межотраслевой план научно-технологи­ческого развития страны до 2020 года. Постановление Правительства Республики Казахстан от 30 ноября 2010 года № 1291.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Яременко Ю.В. Теория и методология исследования многоуровневой экономики.- М.: Наука,1997. 6. Яременко Ю.В. Экономические беседы. -М.:   Центр   исследований  и статистики науки, 1999.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Узяков М.Н. Взаимодействие качественных и массовых ресурсов и эффективность экономики  //Проблемы прогнозирования. 2001. № 1.</w:t>
      </w:r>
    </w:p>
    <w:p w:rsidR="00A2675E" w:rsidRPr="00AD1F5D" w:rsidRDefault="00A2675E" w:rsidP="00AD1F5D">
      <w:pPr>
        <w:pStyle w:val="ListParagraph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/>
          <w:sz w:val="32"/>
          <w:szCs w:val="32"/>
        </w:rPr>
      </w:pPr>
      <w:r w:rsidRPr="00AD1F5D">
        <w:rPr>
          <w:rFonts w:ascii="Times New Roman" w:hAnsi="Times New Roman"/>
          <w:sz w:val="32"/>
          <w:szCs w:val="32"/>
        </w:rPr>
        <w:t>Кондратьев Н.Д., Опарин Д.И. Большие циклы конъюнктуры. Доклады и их обсуждение в Институте экономики. — М.: Ин-т экономики, 1928. — 287 с.</w:t>
      </w:r>
    </w:p>
    <w:p w:rsidR="00A2675E" w:rsidRPr="00AD1F5D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32"/>
          <w:szCs w:val="32"/>
        </w:rPr>
      </w:pPr>
      <w:hyperlink r:id="rId7" w:history="1">
        <w:r w:rsidRPr="00AD1F5D">
          <w:rPr>
            <w:rStyle w:val="Hyperlink"/>
            <w:rFonts w:ascii="Times New Roman" w:hAnsi="Times New Roman"/>
            <w:sz w:val="32"/>
            <w:szCs w:val="32"/>
          </w:rPr>
          <w:t>http://communitarian.ru/publikacii/mirovaya_ekonomika/nikolay_kondratev_ekonomicheskie_tsikly_kotorye_stanovyatsya_istoricheskimi/</w:t>
        </w:r>
      </w:hyperlink>
    </w:p>
    <w:p w:rsidR="00A2675E" w:rsidRDefault="00A2675E" w:rsidP="00AD1F5D">
      <w:pPr>
        <w:pStyle w:val="NoSpacing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hyperlink r:id="rId8" w:history="1">
        <w:r w:rsidRPr="00AD1F5D">
          <w:rPr>
            <w:rStyle w:val="Hyperlink"/>
            <w:rFonts w:ascii="Times New Roman" w:hAnsi="Times New Roman"/>
            <w:sz w:val="32"/>
            <w:szCs w:val="32"/>
          </w:rPr>
          <w:t>http://www.energoinform.org/pointofview/prohorov/7-tech-structure.aspx</w:t>
        </w:r>
      </w:hyperlink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Pr="00870A9A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Pr="00870A9A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675E" w:rsidRPr="0019402B" w:rsidRDefault="00A2675E" w:rsidP="00AD1F5D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A2675E" w:rsidRPr="0019402B" w:rsidSect="00AD1F5D">
      <w:pgSz w:w="11906" w:h="16838"/>
      <w:pgMar w:top="737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02C07"/>
    <w:multiLevelType w:val="hybridMultilevel"/>
    <w:tmpl w:val="49F0D08E"/>
    <w:lvl w:ilvl="0" w:tplc="31C8135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64BA"/>
    <w:rsid w:val="0019402B"/>
    <w:rsid w:val="0025478D"/>
    <w:rsid w:val="00347CF9"/>
    <w:rsid w:val="0040570A"/>
    <w:rsid w:val="00450D2D"/>
    <w:rsid w:val="00670463"/>
    <w:rsid w:val="008064BA"/>
    <w:rsid w:val="00834A39"/>
    <w:rsid w:val="00870A9A"/>
    <w:rsid w:val="00902DE9"/>
    <w:rsid w:val="00A2675E"/>
    <w:rsid w:val="00A6393C"/>
    <w:rsid w:val="00AD1F5D"/>
    <w:rsid w:val="00C86107"/>
    <w:rsid w:val="00C86851"/>
    <w:rsid w:val="00CB58DD"/>
    <w:rsid w:val="00DE7299"/>
    <w:rsid w:val="00F252FB"/>
    <w:rsid w:val="00F71783"/>
    <w:rsid w:val="00F85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DE9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9402B"/>
    <w:rPr>
      <w:lang w:eastAsia="en-US"/>
    </w:rPr>
  </w:style>
  <w:style w:type="paragraph" w:styleId="NormalWeb">
    <w:name w:val="Normal (Web)"/>
    <w:basedOn w:val="Normal"/>
    <w:uiPriority w:val="99"/>
    <w:rsid w:val="001940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19402B"/>
    <w:rPr>
      <w:rFonts w:cs="Times New Roman"/>
      <w:b/>
      <w:bCs/>
    </w:rPr>
  </w:style>
  <w:style w:type="paragraph" w:customStyle="1" w:styleId="410">
    <w:name w:val="410"/>
    <w:basedOn w:val="Normal"/>
    <w:uiPriority w:val="99"/>
    <w:rsid w:val="001940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450D2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450D2D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CB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5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672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672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ergoinform.org/pointofview/prohorov/7-tech-structure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ommunitarian.ru/publikacii/mirovaya_ekonomika/nikolay_kondratev_ekonomicheskie_tsikly_kotorye_stanovyatsya_istoricheskim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10</Pages>
  <Words>3203</Words>
  <Characters>18262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Wgranetskiy</cp:lastModifiedBy>
  <cp:revision>4</cp:revision>
  <cp:lastPrinted>2017-10-02T17:25:00Z</cp:lastPrinted>
  <dcterms:created xsi:type="dcterms:W3CDTF">2017-10-02T17:27:00Z</dcterms:created>
  <dcterms:modified xsi:type="dcterms:W3CDTF">2017-11-04T08:51:00Z</dcterms:modified>
</cp:coreProperties>
</file>